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регионального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Сабинском муниципальном районе Республики Татарстан за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2024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  <w:trHeight w:val="276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>
        <w:trPr>
          <w:trHeight w:val="276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159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7"/>
        <w:gridCol w:w="7615"/>
      </w:tblGrid>
      <w:tr>
        <w:trPr>
          <w:tblHeader w:val="true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отчетном периоде собственные социологические опросы населения об уровне коррупции и эффективности принимаемых антикоррупционных мер в Сабинском муниципальном районе не проводились.</w:t>
            </w:r>
          </w:p>
          <w:p>
            <w:pPr>
              <w:pStyle w:val="ConsPlusNormal"/>
              <w:spacing w:lineRule="auto" w:line="228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сайте района в разделе «Противодействие коррупции» размещен и находится в актуальном состоянии социологический опрос «Опрос о состоянии коррупции в районе». Результаты опроса рассматриваются на заседании комиссии по координации работы по противодействию коррупции.</w:t>
            </w:r>
          </w:p>
          <w:p>
            <w:pPr>
              <w:pStyle w:val="ConsPlusNormal"/>
              <w:spacing w:lineRule="auto" w:line="228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(Выполнение индикаторов - 100%).</w:t>
            </w:r>
          </w:p>
        </w:tc>
      </w:tr>
      <w:tr>
        <w:trPr>
          <w:trHeight w:val="470" w:hRule="atLeast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06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2" w:tgtFrame="_blank"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официальном сайте района в разделе «Противодействие коррупции» в подразделе «Независимая антикоррупционная экспертиза» начальником юридического отдела размещаются проекты муниципальных НПА, разработанные в муниципальном районе.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 размещению подлежит 537 проектов НПА.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(Выполнение индикаторов -100%)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комплекса процессных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>в Сабинском муниципальном районе Республики Татарстан за 2024 год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  <w:trHeight w:val="276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>
        <w:trPr>
          <w:trHeight w:val="276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15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1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2024 год принят 11 нормативно правовой акт в сфере противодействия коррупции: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Решение Совета Сабинского муниципального района от 26.02.2024 г. №253 «О внесении изменений в решение Совета Сабинского муниципального района Республики Татарстан от 12.12.2023 года №236 «О бюджете Сабинского муниципального района Республики Татарстан на 2024 год и на плановый период 2025-2026 годов»»;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Решение Совета Сабинского муниципального района от 27.06.2024 г. №271 «О внесении изменений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решением Совета Сабинского муниципального района от 05.04.2016 №47»;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Постановление Исполнительный комитет Сабинского муниципального района от 01.07.2024г. №539-п «О внесении изменений в постановление Исполнительного комитета Сабинского муниципального района Республики Татарстан от 09.11.2015 №1382-п «Об утверждении тарифных коэффициентов и тарифных ставок (окладов) Единой тарифной сетки по оплате труда работников бюджетной сферы Сабинского муниципального района Республики Татарстан»;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Постановление Исполнительный комитет Сабинского муниципального района от 01.07.2024г. №540-п «О внесении изменений в Положение об организации и условиях оплаты труда руководителей и специалистов (за исключением должностей, отнесенных к должностям муниципальных служащих) Централизованной бухгалтерии при Финансово-бюджетной палате Сабинского муниципального района, утвержденный постановлением Исполнительного комитета Сабинского муниципального района от 29.04.2019 №428-п;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Постановление Исполнительный комитет Сабинского муниципального района от 01.07.2024г. №550-п «О внесении изменений в постановление Исполнительного комитета Сабинского муниципального района от 23.03.2021 №301-п «Об условиях оплаты труда работников бюджетной сферы, на которые не распространяется Единая тарифная сетка по оплате труда работников бюджетной сферы»;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Постановление Исполнительный комитет Сабинского муниципального района от 01.07.2024г. №551-п «Об условиях оплаты труда работников муниципальных организаций молодежной политики Сабинского муниципального района Республики Татарстан»;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Постановление Исполнительный комитет Сабинского муниципального района от 01.07.2024г. №552-п «Об условиях оплаты труда работников муниципальных учреждений культуры Сабинского муниципального района Республики Татарстан»;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8) Постановление Исполнительный комитет Сабинского муниципального района от 01.07.2024г. №553-п «Об условиях оплаты труда работников муниципальных образовательных организаций Сабинского муниципального района Республики Татарстан»;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9) Постановление Исполнительный комитет Сабинского муниципального района от 01.07.2024г. №554-п «Об условиях оплаты труда работников муниципальных организаций физической культуры и спорта Сабинского муниципального Республики Татарстан»;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10)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Постановление Исполнительный комитет Сабинского муниципального района от 06.08.2024г. №647-п</w:t>
            </w:r>
            <w:r>
              <w:rPr/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 внесении изменений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Сабинского муниципального района Республики Татарстан, утвержденный постановлением Исполнительного комитета Сабинского муниципального района Республики Татарстан от 19.08.2016 №1051-п;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11) Решение Совета Сабинского муниципального района от 25.09.2024 г. №286 О внесении изменений в решение Совета Сабинского муниципального района Республики Татарстан от 12.12.2023 года №236 «О бюджете Сабинского муниципального района Республики Татарстан на 2024 год и на плановый период 2025-2026 годов»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Значение индикатора - 100 %</w:t>
            </w:r>
          </w:p>
        </w:tc>
      </w:tr>
      <w:tr>
        <w:trPr>
          <w:trHeight w:val="277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"/document/196300/entry/0"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Указом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"/document/8166002/entry/0"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Указом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Распоряжением Руководителя Исполнительного комитета Сабинского муниципального района Республики Татарстан от 06.10.2017г. №175-р определено должностное лицо кадровой службы, ответственное за работу по профилактике коррупционных и иных правонарушений – Ярмиева Р.Н., возложив на нее функции в соответствии с Указом Президента Российской Федерации от 21.09.2009г. № 1065 и Президента Республики Татарстан от 01.11.2010 № УП-711.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Имеется План работы ответственного лица по профилактике коррупционных и иных правонарушений Совета, и Исполнительного комитета Сабинского муниципального района Республики Татарстан на 2024 год, утвержденный заместителем главы Сабинского муниципального района - председателем комиссии по соблюдению требований к служебному (должностному) поведению и урегулированию конфликта интересов.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должностей муниципальной службы в муниципальном образовании Сабинский муниципальный района, замещение которых связано с коррупционными рисками утвержден постановлением Главы Сабинского муниципального района Республики Татарстан от 12.12.2013 № 134-п.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 85 должностей муниципальной службы Сабинского муниципального района Республики Татарстан в перечень включено 85 должностей, что составляет 100%.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Проведена оценка коррупционных рисков, возникающих при реализации муниципальными служащими функций.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(Выполнение индикаторов - 100%)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личных дел муниципальных служащих,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 проводится на постоянной основе.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настоящее время организована работа по обновлению анкет в связи с утверждением Указом Президента Российской Федерации от 10 октября 2024 г. № 870 новой формы.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работа по подлинности дипломов, по проверке участия муниципальных служащих в предпринимательской деятельности и участия в деятельности органов управления коммерческими организациями.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(Выполнение индикаторов - 100%)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 доступ к программе для проверки сведений из ЕГРЮЛ и ЕГРИП, также установлена программа «Кадры 1С».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помощью базы проверяется соблюдение муниципальными служащими запретов, в части участия в органе управления коммерческой организацией и занятия предпринимательской деятельностью.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Проверена информация о выдаче дипломов о высшем и средне профессиональном образовании посредством сайта в отношении муниципальных служащих.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Во исполнение законодательства о муниципальной службе, о противодействии коррупции гражданами, претендующими на замещение должностей муниципальной службы, предоставлены справки об отсутствии судимости.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Проводятся проверки соблюдения муниципальными служащими требований к служебному поведению, предусмотренных законодательством о государственной и муниципальной службе.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 целях усиления работы по профилактике коррупционных и иных правонарушений, кадровыми службами органов местного самоуправления ведется постоянная разъяснительная работа по профилактике коррупционных и иных правонарушений среди муниципальных служащих.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(Выполнение индикаторов -100%).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лиц, замещающих муниципальные должности на постоянной основе, и должности муниципальной службы, в управлении коммерческими и некоммерческими организациями проводится систематически, нарушений не выявлено.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(Выполнение индикаторов -100%).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"/document/12164203/entry/133"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статьи 13.3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Осуществлен контроль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ОМС.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Ведется контроль соблюдения правил и норм Кодекса этики и служебного поведения муниципальных служащих Сабинского муниципального района, и исполнения обязанности по предотвращению и урегулированию конфликта интересов.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Внесены изменения в уставы подведомственных учреждений, трудовые договоры с руководителями и сотрудниками подведомственных учреждений.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(Выполнение индикаторов -100%).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p_399023"/>
            <w:bookmarkEnd w:id="1"/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2" w:name="p_399024"/>
            <w:bookmarkEnd w:id="2"/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both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 Комиссии по координации работы по противодействию коррупции в Сабинском муниципальном районе ведется согласно утвержденному годовому Плану. В случае необходимости возможно проведение внеочередных заседаний, в течение года в План работы могут быть внесены изменения и дополнения.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both"/>
              <w:outlineLvl w:val="0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 решения заседаний комиссии доводятся до органов местного самоуправления.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both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 выполнены)</w:t>
            </w:r>
          </w:p>
        </w:tc>
      </w:tr>
      <w:tr>
        <w:trPr>
          <w:trHeight w:val="787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>
        <w:trPr>
          <w:trHeight w:val="1692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нормативных правовых актов, подвергнутых антикоррупционной экспертизе на стадии разработки их проектов – 537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(Выполнение индикаторов -100%)</w:t>
            </w:r>
          </w:p>
        </w:tc>
      </w:tr>
      <w:tr>
        <w:trPr>
          <w:trHeight w:val="708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работе по формированию антикоррупционного мировоззрения и поведения,  а также к проведению мероприятий привлечены общественные формирования. Доля муниципальных служащих и лиц, замещающих муниципальные должности, а также руководителей муниципальных учреждений, с которыми проведены антикоррупционные мероприятия, составляет 100%.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 февраля 2024 года в актовом зале заседаний Исполнительного комитета Сабинского муниципального района прошел обучающий семинар для муниципальных служащих и руководителей муниципальных учреждений, депутатов сельских поселений на тему «Представление сведений о доходах, расходах, об имуществе и обязательствах имущественного характера и заполнение соответствующей формы справки».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2024 год в муниципальном районе при участии представителей общественных организаций проведено 4 заседаний комиссии по соблюдению требований к служебному (должностному) поведению и урегулированию конфликта интересов.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 проводимые в муниципальном районе мероприятия по противодействию коррупции направлены на активизацию работы по формированию у муниципальных служащих отрицательного отношения к коррупции и проводятся с привлечением представителей общественного Совета района и общественных организаций Сабинского муниципального района.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Отчеты о реализации программы противодействия коррупции заслушаны в феврале 2024 года на итоговом заседании Совета Сабинского муниципального района с участием председателя и членов Общественного совета района.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выполнены)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623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Вся информация размещена на сайте района, в т.ч. номера телефонов доверия, каждое интернет - обращение граждан автоматически попадает в базу данных электронного документооборота системы «Электронное правительство Республики Татарстан».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ежеквартальный анализ обращений граждан на предмет наличия информации о фактах коррупции со стороны муниципальных служащих, а также в СМИ. За отчетный период таких сообщений не поступило.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входе в здание сельских и городских поселений района установлены ящики «Ящики доверия» для сбора сообщений от граждан и организаций.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Ведется журнал регистрации обращений граждан и организации, поступивших по телефону доверия по вопросам противодействия коррупции.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сайте Сабинского муниципального района опубликованы следующие номера телефонов доверия для сообщений о проявлениях коррупции: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Совета и Исполнительного комитета Сабинского муниципального района: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Помощника Главы по антикоррупционной и антитеррористической работе, секретаря комиссии по координации работы по противодействию коррупции: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Ответственного лица за профилактику коррупционных и иных правонарушений – заведующей сектором по кадровой работе Исполнительного комитета Сабинского муниципального района РТ.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Прокуратуры Сабинского района;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Отдела МВД России по Сабинскому району;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-Администрация Раиса Республики Татарстан по вопросам антикоррупционной политики: 8(843)567-88-69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Совета при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Раисе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Республики Татарстан по противодействию коррупции: 8(843)567-89-12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 адрес интернет – приемной Сабинского муниципального района.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2024 год от граждан письменных и устных жалоб и обращений о признаках коррупционных правонарушений не поступало.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выполнены).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ежеквартальный анализ обращений граждан на предмет наличия информации о фактах коррупции со стороны муниципальных служащих, а также в СМИ, обобщенная информация рассматривается на заседании комиссии по координации работы по противодействию коррупции.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целях доведения до СМИ информации о мерах, принимаемых органами местного самоуправления района по противодействию коррупции, на страницах районной газеты «Саба таннары» и местном канале Сабинской телекомпании освещаются мероприятия, направленные на профилактику коррупционных и иных правонарушений. На все мероприятия по противодействию коррупции приглашаются представители СМИ.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2024 год информации о коррупционных проявлениях со стороны муниципальных служащих не имеется.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Значение индикаторов -100% выполнены).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стенды антикоррупционной направленности имеются во всех муниципальных учреждениях и органах местного самоуправления, а также в фойе здании Совета и Исполнительного комитета Сабинского муниципального района установлен монитор, на котором ежеминутно транслируется антикоррупционные материалы.  Информация систематически обновляется.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Значение индикаторов -100% выполнены).</w:t>
            </w:r>
          </w:p>
        </w:tc>
      </w:tr>
      <w:tr>
        <w:trPr>
          <w:trHeight w:val="601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ascii="Times New Roman;serif;serif;EmojiFont" w:hAnsi="Times New Roman;serif;serif;EmojiFont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Реализация принципа открытости и прозрачности информации о закупках обеспечивается путем размещения на портале www.zakupki.gov.ru план - графиков закупок всех муниципальных заказчиков района, а также размещения извещений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ascii="Times New Roman;serif;serif;EmojiFont" w:hAnsi="Times New Roman;serif;serif;EmojiFont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 проведении конкурентных способов закупок как на общероссийском официальном сайте, так и на сайте Сабинского муниципального района http://saby.tatarstan.ru. Электронные торги проводятся на торговой площадке http://www.zakazrf.ru либо закупается через «Биржевую площадку АГЗ РТ».</w:t>
            </w:r>
          </w:p>
          <w:p>
            <w:pPr>
              <w:pStyle w:val="BodyText"/>
              <w:widowControl/>
              <w:spacing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rFonts w:ascii="Times New Roman;serif;serif;EmojiFont" w:hAnsi="Times New Roman;serif;serif;EmojiFont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На 01.12.2024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 </w:t>
            </w:r>
            <w:r>
              <w:rPr>
                <w:rFonts w:ascii="Times New Roman;serif;serif;EmojiFont" w:hAnsi="Times New Roman;serif;serif;EmojiFont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г. заключены 432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 </w:t>
            </w:r>
            <w:r>
              <w:rPr>
                <w:rFonts w:ascii="Times New Roman;serif;serif;EmojiFont" w:hAnsi="Times New Roman;serif;serif;EmojiFont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муниципальных контракта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 </w:t>
            </w:r>
            <w:r>
              <w:rPr>
                <w:rFonts w:ascii="Times New Roman;serif;serif;EmojiFont" w:hAnsi="Times New Roman;serif;serif;EmojiFont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по итогам 237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 </w:t>
            </w:r>
            <w:r>
              <w:rPr>
                <w:rFonts w:ascii="Times New Roman;serif;serif;EmojiFont" w:hAnsi="Times New Roman;serif;serif;EmojiFont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проведённых электронных торгов на сумму 558,0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 </w:t>
            </w:r>
            <w:r>
              <w:rPr>
                <w:rFonts w:ascii="Times New Roman;serif;serif;EmojiFont" w:hAnsi="Times New Roman;serif;serif;EmojiFont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млн.руб., экономия – 11,2 млн.руб. или 2,0%.</w:t>
            </w:r>
          </w:p>
          <w:p>
            <w:pPr>
              <w:pStyle w:val="BodyText"/>
              <w:widowControl/>
              <w:spacing w:before="0" w:after="142"/>
              <w:ind w:hanging="0" w:left="0" w:right="0"/>
              <w:jc w:val="both"/>
              <w:rPr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;serif;serif;EmojiFont" w:hAnsi="Times New Roman;serif;serif;EmojiFont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Значение индикатора по мероприятию (доля органов государственной власти и ОМС, обеспечивших прозрачность деятельности по осуществлению закупок товаров, работ, услуг для обеспечения государственных (муниципальных) нужд, процентов) равна 100%</w:t>
            </w:r>
            <w:r>
              <w:rPr>
                <w:rFonts w:ascii="Times New Roman;Times;serif;serif;EmojiFont" w:hAnsi="Times New Roman;Times;serif;serif;EmojiFont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.</w:t>
            </w:r>
          </w:p>
        </w:tc>
      </w:tr>
      <w:tr>
        <w:trPr>
          <w:trHeight w:val="376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обращений граждан о проявлениях коррупции в социально-экономических отраслях жизнедеятельности организован, обращений за 2024 год не выявлено.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выполнены).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Все факты несоблюдения запретов, ограничений и требований, установленных в целях противодействия коррупции, рассматриваются на комиссии по соблюдению требований к служебному поведению.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Осуществляется контроль за применением предусмотренных законодательством мер юридической ответственности за несоблюдение требований, установленных в целях противодействия коррупции.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В отчетном периоде к дисциплинарной ответственности  за совершение коррупционных правонарушений привлечено в виде замечания 2, в виде выговора 3 служащих.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 - выполнены)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"/document/12164203/entry/0"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законодательства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2 полугодие 2024 года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существлен контроль за применением предусмот</w:t>
              <w:softHyphen/>
              <w:t>ренных законодательством мер юридической ответственности за несоблюдение запретов, ограничений и требований, установленных в це</w:t>
              <w:softHyphen/>
              <w:t>лях противодействия корруп</w:t>
              <w:softHyphen/>
              <w:t>ции.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Выявлено 5 нарушение, привлеченных к дисциплинарной ответственности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виде замечания 2 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к дисциплинарной ответственности в виде выговора 3 человек.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(Значение индикаторов -100%  - выполнены).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sectPr>
      <w:headerReference w:type="default" r:id="rId3"/>
      <w:type w:val="nextPage"/>
      <w:pgSz w:orient="landscape" w:w="16838" w:h="11906"/>
      <w:pgMar w:left="567" w:right="567" w:gutter="0" w:header="567" w:top="1134" w:footer="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Times New Roman">
    <w:altName w:val="serif"/>
    <w:charset w:val="01"/>
    <w:family w:val="roman"/>
    <w:pitch w:val="default"/>
  </w:font>
  <w:font w:name="Times New Roman">
    <w:altName w:val="Times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widowControl w:val="false"/>
      <w:tabs>
        <w:tab w:val="clear" w:pos="708"/>
        <w:tab w:val="left" w:pos="0" w:leader="none"/>
      </w:tabs>
      <w:spacing w:lineRule="auto" w:line="240" w:before="108" w:after="108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</w:rPr>
  </w:style>
  <w:style w:type="paragraph" w:styleId="Heading3">
    <w:name w:val="Heading 3"/>
    <w:basedOn w:val="Normal"/>
    <w:next w:val="BodyText"/>
    <w:qFormat/>
    <w:pPr>
      <w:tabs>
        <w:tab w:val="clear" w:pos="708"/>
        <w:tab w:val="left" w:pos="0" w:leader="none"/>
      </w:tabs>
      <w:spacing w:lineRule="auto" w:line="240" w:before="280" w:after="280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Times New Roman" w:hAnsi="Times New Roman" w:eastAsia="Calibri" w:cs="Times New Roman"/>
      <w:color w:val="000000"/>
      <w:sz w:val="20"/>
    </w:rPr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>
      <w:rFonts w:ascii="Times New Roman" w:hAnsi="Times New Roman" w:cs="Times New Roman"/>
    </w:rPr>
  </w:style>
  <w:style w:type="character" w:styleId="WW8Num18z0" w:customStyle="1">
    <w:name w:val="WW8Num18z0"/>
    <w:qFormat/>
    <w:rPr>
      <w:sz w:val="24"/>
    </w:rPr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>
      <w:rFonts w:cs="Times New Roman"/>
    </w:rPr>
  </w:style>
  <w:style w:type="character" w:styleId="WW8Num21z0" w:customStyle="1">
    <w:name w:val="WW8Num21z0"/>
    <w:qFormat/>
    <w:rPr>
      <w:sz w:val="24"/>
    </w:rPr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6z0" w:customStyle="1">
    <w:name w:val="WW8Num26z0"/>
    <w:qFormat/>
    <w:rPr>
      <w:sz w:val="24"/>
    </w:rPr>
  </w:style>
  <w:style w:type="character" w:styleId="WW8Num26z1" w:customStyle="1">
    <w:name w:val="WW8Num26z1"/>
    <w:qFormat/>
    <w:rPr/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8z0" w:customStyle="1">
    <w:name w:val="WW8Num28z0"/>
    <w:qFormat/>
    <w:rPr>
      <w:rFonts w:ascii="Times New Roman" w:hAnsi="Times New Roman" w:cs="Times New Roman"/>
    </w:rPr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29z1" w:customStyle="1">
    <w:name w:val="WW8Num29z1"/>
    <w:qFormat/>
    <w:rPr>
      <w:rFonts w:ascii="Courier New" w:hAnsi="Courier New" w:cs="Times New Roman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St14z0" w:customStyle="1">
    <w:name w:val="WW8NumSt14z0"/>
    <w:qFormat/>
    <w:rPr>
      <w:rFonts w:ascii="Symbol" w:hAnsi="Symbol" w:cs="Symbol"/>
    </w:rPr>
  </w:style>
  <w:style w:type="character" w:styleId="3" w:customStyle="1">
    <w:name w:val="Основной текст 3 Знак"/>
    <w:qFormat/>
    <w:rPr>
      <w:rFonts w:ascii="Times New Roman" w:hAnsi="Times New Roman" w:eastAsia="Times New Roman" w:cs="Times New Roman"/>
      <w:b/>
      <w:i/>
      <w:sz w:val="28"/>
      <w:szCs w:val="24"/>
      <w:u w:val="single"/>
    </w:rPr>
  </w:style>
  <w:style w:type="character" w:styleId="2" w:customStyle="1">
    <w:name w:val="Основной текст с отступом 2 Знак"/>
    <w:basedOn w:val="DefaultParagraphFont"/>
    <w:qFormat/>
    <w:rPr/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1" w:customStyle="1">
    <w:name w:val="Заголовок 1 Знак"/>
    <w:qFormat/>
    <w:rPr>
      <w:rFonts w:ascii="Arial" w:hAnsi="Arial" w:eastAsia="Times New Roman" w:cs="Arial"/>
      <w:b/>
      <w:bCs/>
      <w:color w:val="000080"/>
      <w:sz w:val="24"/>
      <w:szCs w:val="24"/>
    </w:rPr>
  </w:style>
  <w:style w:type="character" w:styleId="32" w:customStyle="1">
    <w:name w:val="Заголовок 3 Знак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21" w:customStyle="1">
    <w:name w:val="Основной текст 2 Знак"/>
    <w:basedOn w:val="DefaultParagraphFont"/>
    <w:qFormat/>
    <w:rPr/>
  </w:style>
  <w:style w:type="character" w:styleId="Style12" w:customStyle="1">
    <w:name w:val="Цветовое выделение"/>
    <w:qFormat/>
    <w:rPr>
      <w:b/>
      <w:color w:val="000080"/>
    </w:rPr>
  </w:style>
  <w:style w:type="character" w:styleId="Style13" w:customStyle="1">
    <w:name w:val="Название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Style14" w:customStyle="1">
    <w:name w:val="Верхний колонтитул Знак"/>
    <w:basedOn w:val="DefaultParagraphFont"/>
    <w:qFormat/>
    <w:rPr/>
  </w:style>
  <w:style w:type="character" w:styleId="Style15" w:customStyle="1">
    <w:name w:val="Нижний колонтитул Знак"/>
    <w:basedOn w:val="DefaultParagraphFont"/>
    <w:qFormat/>
    <w:rPr/>
  </w:style>
  <w:style w:type="character" w:styleId="Style16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FontStyle13" w:customStyle="1">
    <w:name w:val="Font Style13"/>
    <w:qFormat/>
    <w:rPr>
      <w:rFonts w:ascii="Times New Roman" w:hAnsi="Times New Roman" w:cs="Times New Roman"/>
      <w:sz w:val="16"/>
      <w:szCs w:val="16"/>
    </w:rPr>
  </w:style>
  <w:style w:type="character" w:styleId="Style17" w:customStyle="1">
    <w:name w:val="Основной текст с отступом Знак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Style18" w:customStyle="1">
    <w:name w:val="Текст концевой сноски Знак"/>
    <w:qFormat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19" w:customStyle="1">
    <w:name w:val="Символ концевой сноски"/>
    <w:qFormat/>
    <w:rPr>
      <w:vertAlign w:val="superscript"/>
    </w:rPr>
  </w:style>
  <w:style w:type="character" w:styleId="Style20" w:customStyle="1">
    <w:name w:val="Текст сноски Знак"/>
    <w:qFormat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ntStyle21" w:customStyle="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styleId="Style22" w:customStyle="1">
    <w:name w:val="Гипертекстовая ссылка"/>
    <w:qFormat/>
    <w:rPr>
      <w:rFonts w:cs="Times New Roman"/>
      <w:b/>
      <w:bCs/>
      <w:color w:val="008000"/>
    </w:rPr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Style23" w:customStyle="1">
    <w:name w:val="Текст примечания Знак"/>
    <w:qFormat/>
    <w:rPr>
      <w:sz w:val="20"/>
      <w:szCs w:val="20"/>
    </w:rPr>
  </w:style>
  <w:style w:type="character" w:styleId="Style24" w:customStyle="1">
    <w:name w:val="Тема примечания Знак"/>
    <w:qFormat/>
    <w:rPr>
      <w:b/>
      <w:bCs/>
      <w:sz w:val="20"/>
      <w:szCs w:val="20"/>
    </w:rPr>
  </w:style>
  <w:style w:type="character" w:styleId="ListParagraphChar" w:customStyle="1">
    <w:name w:val="List Paragraph Char"/>
    <w:link w:val="22"/>
    <w:qFormat/>
    <w:locked/>
    <w:rsid w:val="00b42987"/>
    <w:rPr>
      <w:rFonts w:ascii="Calibri" w:hAnsi="Calibri" w:eastAsia="Calibri" w:cs="Times New Roman"/>
      <w:sz w:val="22"/>
      <w:szCs w:val="22"/>
      <w:lang w:eastAsia="en-US" w:bidi="ar-SA"/>
    </w:rPr>
  </w:style>
  <w:style w:type="character" w:styleId="Style25" w:customStyle="1">
    <w:name w:val="Основной текст_"/>
    <w:link w:val="15"/>
    <w:qFormat/>
    <w:locked/>
    <w:rsid w:val="009a6542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spacing w:lineRule="auto" w:line="240" w:before="0" w:after="0"/>
      <w:jc w:val="center"/>
    </w:pPr>
    <w:rPr>
      <w:rFonts w:ascii="Times New Roman" w:hAnsi="Times New Roman" w:eastAsia="Times New Roman"/>
      <w:sz w:val="28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BodyText3">
    <w:name w:val="Body Text 3"/>
    <w:basedOn w:val="Normal"/>
    <w:qFormat/>
    <w:pPr>
      <w:keepNext w:val="true"/>
      <w:spacing w:lineRule="auto" w:line="240" w:before="0" w:after="0"/>
      <w:jc w:val="both"/>
    </w:pPr>
    <w:rPr>
      <w:rFonts w:ascii="Times New Roman" w:hAnsi="Times New Roman" w:eastAsia="Times New Roman"/>
      <w:b/>
      <w:i/>
      <w:sz w:val="28"/>
      <w:szCs w:val="24"/>
      <w:u w:val="single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28" w:customStyle="1">
    <w:name w:val="Прижатый влево"/>
    <w:basedOn w:val="Normal"/>
    <w:next w:val="Normal"/>
    <w:qFormat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Style29" w:customStyle="1">
    <w:name w:val="Нормальный (таблица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</w:rPr>
  </w:style>
  <w:style w:type="paragraph" w:styleId="Style30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31" w:customStyle="1">
    <w:name w:val="Абзац с отсуп"/>
    <w:basedOn w:val="Normal"/>
    <w:qFormat/>
    <w:pPr>
      <w:spacing w:lineRule="exact" w:line="360" w:before="120" w:after="0"/>
      <w:ind w:firstLine="720"/>
      <w:jc w:val="both"/>
    </w:pPr>
    <w:rPr>
      <w:rFonts w:ascii="Times New Roman" w:hAnsi="Times New Roman" w:eastAsia="Times New Roman"/>
      <w:sz w:val="28"/>
      <w:szCs w:val="28"/>
      <w:lang w:val="en-US"/>
    </w:rPr>
  </w:style>
  <w:style w:type="paragraph" w:styleId="12" w:customStyle="1">
    <w:name w:val="Стиль1"/>
    <w:basedOn w:val="Normal"/>
    <w:qFormat/>
    <w:pPr>
      <w:spacing w:lineRule="auto" w:line="240" w:before="0" w:after="0"/>
    </w:pPr>
    <w:rPr>
      <w:rFonts w:ascii="Times New Roman" w:hAnsi="Times New Roman" w:eastAsia="Times New Roman"/>
      <w:sz w:val="28"/>
      <w:szCs w:val="20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>
      <w:rFonts w:eastAsia="Times New Roman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NormalWeb1" w:customStyle="1">
    <w:name w:val="Normal (Web)1"/>
    <w:basedOn w:val="Normal"/>
    <w:qFormat/>
    <w:pPr>
      <w:spacing w:lineRule="auto" w:line="288" w:before="100" w:after="100"/>
      <w:ind w:firstLine="567"/>
      <w:jc w:val="both"/>
      <w:textAlignment w:val="baseline"/>
    </w:pPr>
    <w:rPr>
      <w:rFonts w:ascii="Times New Roman" w:hAnsi="Times New Roman" w:eastAsia="Times New Roman"/>
      <w:sz w:val="28"/>
      <w:szCs w:val="28"/>
    </w:rPr>
  </w:style>
  <w:style w:type="paragraph" w:styleId="13" w:customStyle="1">
    <w:name w:val="Абзац списка1"/>
    <w:basedOn w:val="Normal"/>
    <w:qFormat/>
    <w:pPr>
      <w:spacing w:before="0" w:after="200"/>
      <w:ind w:left="720"/>
      <w:contextualSpacing/>
    </w:pPr>
    <w:rPr>
      <w:rFonts w:eastAsia="Times New Roman"/>
    </w:rPr>
  </w:style>
  <w:style w:type="paragraph" w:styleId="Iauiue" w:customStyle="1">
    <w:name w:val="Iau?iu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EndnoteText">
    <w:name w:val="Endnote Text"/>
    <w:basedOn w:val="Normal"/>
    <w:pPr>
      <w:widowControl w:val="false"/>
      <w:spacing w:lineRule="auto" w:line="240" w:before="0" w:after="0"/>
    </w:pPr>
    <w:rPr>
      <w:rFonts w:ascii="Times New Roman" w:hAnsi="Times New Roman" w:eastAsia="Times New Roman"/>
      <w:sz w:val="20"/>
      <w:szCs w:val="20"/>
    </w:rPr>
  </w:style>
  <w:style w:type="paragraph" w:styleId="FootnoteText">
    <w:name w:val="Footnote Text"/>
    <w:basedOn w:val="Normal"/>
    <w:pPr>
      <w:widowControl w:val="false"/>
      <w:spacing w:lineRule="auto" w:line="240" w:before="0" w:after="0"/>
    </w:pPr>
    <w:rPr>
      <w:rFonts w:ascii="Times New Roman" w:hAnsi="Times New Roman" w:eastAsia="Times New Roman"/>
      <w:sz w:val="20"/>
      <w:szCs w:val="20"/>
    </w:rPr>
  </w:style>
  <w:style w:type="paragraph" w:styleId="14" w:customStyle="1">
    <w:name w:val="1"/>
    <w:basedOn w:val="Normal"/>
    <w:qFormat/>
    <w:pPr>
      <w:spacing w:lineRule="auto" w:line="240" w:before="280" w:after="280"/>
    </w:pPr>
    <w:rPr>
      <w:rFonts w:ascii="Tahoma" w:hAnsi="Tahoma" w:eastAsia="Times New Roman" w:cs="Tahoma"/>
      <w:sz w:val="20"/>
      <w:szCs w:val="20"/>
      <w:lang w:val="en-US"/>
    </w:rPr>
  </w:style>
  <w:style w:type="paragraph" w:styleId="Style32" w:customStyle="1">
    <w:name w:val="Знак Знак Знак Знак Знак Знак"/>
    <w:basedOn w:val="Normal"/>
    <w:qFormat/>
    <w:pPr>
      <w:spacing w:lineRule="auto" w:line="240" w:before="280" w:after="280"/>
    </w:pPr>
    <w:rPr>
      <w:rFonts w:ascii="Tahoma" w:hAnsi="Tahoma" w:eastAsia="Times New Roman" w:cs="Tahoma"/>
      <w:sz w:val="24"/>
      <w:szCs w:val="24"/>
      <w:lang w:val="en-US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Style61" w:customStyle="1">
    <w:name w:val="Style6"/>
    <w:basedOn w:val="Normal"/>
    <w:qFormat/>
    <w:pPr>
      <w:widowControl w:val="false"/>
      <w:spacing w:lineRule="exact" w:line="484" w:before="0" w:after="0"/>
      <w:ind w:firstLine="710"/>
      <w:jc w:val="both"/>
    </w:pPr>
    <w:rPr>
      <w:rFonts w:ascii="Times New Roman" w:hAnsi="Times New Roman" w:eastAsia="Times New Roman"/>
      <w:sz w:val="24"/>
      <w:szCs w:val="24"/>
    </w:rPr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22" w:customStyle="1">
    <w:name w:val="Абзац списка2"/>
    <w:basedOn w:val="Normal"/>
    <w:link w:val="ListParagraphChar"/>
    <w:qFormat/>
    <w:rsid w:val="00b42987"/>
    <w:pPr>
      <w:spacing w:before="0" w:after="200"/>
      <w:ind w:left="720"/>
      <w:contextualSpacing/>
    </w:pPr>
    <w:rPr>
      <w:lang w:eastAsia="en-US"/>
    </w:rPr>
  </w:style>
  <w:style w:type="paragraph" w:styleId="15" w:customStyle="1">
    <w:name w:val="Основной текст1"/>
    <w:basedOn w:val="Normal"/>
    <w:link w:val="Style25"/>
    <w:qFormat/>
    <w:rsid w:val="009a6542"/>
    <w:pPr>
      <w:widowControl w:val="false"/>
      <w:shd w:val="clear" w:color="auto" w:fill="FFFFFF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atarstan.ru/regulation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Application>LibreOffice/7.6.7.2$Linux_X86_64 LibreOffice_project/60$Build-2</Application>
  <AppVersion>15.0000</AppVersion>
  <Pages>11</Pages>
  <Words>2991</Words>
  <Characters>23301</Characters>
  <CharactersWithSpaces>26134</CharactersWithSpaces>
  <Paragraphs>181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2024-04-04T13:36:00Z</dcterms:created>
  <dc:creator>Наталья</dc:creator>
  <dc:description/>
  <dc:language>ru-RU</dc:language>
  <cp:lastModifiedBy/>
  <cp:lastPrinted>2014-07-16T15:25:00Z</cp:lastPrinted>
  <dcterms:modified xsi:type="dcterms:W3CDTF">2024-12-23T16:14:45Z</dcterms:modified>
  <cp:revision>11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